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581"/>
          <w:tab w:val="left" w:leader="none" w:pos="583"/>
          <w:tab w:val="left" w:leader="none" w:pos="581"/>
          <w:tab w:val="left" w:leader="none" w:pos="583"/>
        </w:tabs>
        <w:spacing w:before="4" w:line="276"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02">
      <w:pPr>
        <w:spacing w:after="160" w:line="259" w:lineRule="auto"/>
        <w:jc w:val="right"/>
        <w:rPr>
          <w:rFonts w:ascii="Arial" w:cs="Arial" w:eastAsia="Arial" w:hAnsi="Arial"/>
          <w:b w:val="1"/>
          <w:bCs w:val="1"/>
          <w:sz w:val="18"/>
          <w:szCs w:val="18"/>
        </w:rPr>
      </w:pPr>
      <w:r w:rsidDel="00000000" w:rsidR="00000000" w:rsidRPr="00000000">
        <w:rPr>
          <w:rFonts w:ascii="Arial" w:cs="Arial" w:eastAsia="Arial" w:hAnsi="Arial"/>
          <w:sz w:val="18"/>
          <w:szCs w:val="18"/>
          <w:rtl w:val="0"/>
        </w:rPr>
        <w:t xml:space="preserve">Allegato 12</w:t>
      </w:r>
      <w:r w:rsidDel="00000000" w:rsidR="00000000" w:rsidRPr="00000000">
        <w:rPr>
          <w:rtl w:val="0"/>
        </w:rPr>
      </w:r>
    </w:p>
    <w:p w:rsidR="00000000" w:rsidDel="00000000" w:rsidP="00000000" w:rsidRDefault="00000000" w:rsidRPr="00000000" w14:paraId="00000003">
      <w:pPr>
        <w:spacing w:after="160" w:line="259" w:lineRule="auto"/>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OGGETTO: PROCEDURA APERTA, SUDDIVISA IN N. 2 LOTTI, PER LA DEFINIZIONE DI ACCORDI QUADRO AI SENSI DELL’ART. 59 DEL D. LGS. 36/2023 PER L'AFFIDAMENTO DI SERVIZI DI MANUTENZIONE SOFTWARE GESTITI DA PUNTOZERO</w:t>
      </w:r>
    </w:p>
    <w:p w:rsidR="00000000" w:rsidDel="00000000" w:rsidP="00000000" w:rsidRDefault="00000000" w:rsidRPr="00000000" w14:paraId="00000004">
      <w:pPr>
        <w:spacing w:before="181" w:line="360" w:lineRule="auto"/>
        <w:ind w:right="-40.8661417322827"/>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5">
      <w:pPr>
        <w:spacing w:after="160" w:line="259" w:lineRule="auto"/>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06">
      <w:pPr>
        <w:tabs>
          <w:tab w:val="left" w:leader="none" w:pos="581"/>
          <w:tab w:val="left" w:leader="none" w:pos="583"/>
          <w:tab w:val="left" w:leader="none" w:pos="581"/>
          <w:tab w:val="left" w:leader="none" w:pos="583"/>
          <w:tab w:val="left" w:leader="none" w:pos="581"/>
          <w:tab w:val="left" w:leader="none" w:pos="583"/>
        </w:tabs>
        <w:spacing w:before="4" w:lineRule="auto"/>
        <w:jc w:val="left"/>
        <w:rPr>
          <w:rFonts w:ascii="Arial" w:cs="Arial" w:eastAsia="Arial" w:hAnsi="Arial"/>
          <w:b w:val="1"/>
          <w:bCs w:val="1"/>
          <w:i w:val="1"/>
          <w:iCs w:val="1"/>
          <w:sz w:val="18"/>
          <w:szCs w:val="18"/>
        </w:rPr>
      </w:pPr>
      <w:r w:rsidDel="00000000" w:rsidR="00000000" w:rsidRPr="00000000">
        <w:rPr>
          <w:rtl w:val="0"/>
        </w:rPr>
      </w:r>
    </w:p>
    <w:p w:rsidR="00000000" w:rsidDel="00000000" w:rsidP="00000000" w:rsidRDefault="00000000" w:rsidRPr="00000000" w14:paraId="00000007">
      <w:pPr>
        <w:widowControl w:val="0"/>
        <w:spacing w:after="240" w:lineRule="auto"/>
        <w:ind w:right="-45"/>
        <w:jc w:val="center"/>
        <w:rPr>
          <w:rFonts w:ascii="Arial" w:cs="Arial" w:eastAsia="Arial" w:hAnsi="Arial"/>
          <w:b w:val="1"/>
          <w:bCs w:val="1"/>
          <w:sz w:val="18"/>
          <w:szCs w:val="18"/>
        </w:rPr>
      </w:pPr>
      <w:bookmarkStart w:colFirst="0" w:colLast="0" w:name="_heading=h.gjdgxs" w:id="0"/>
      <w:bookmarkEnd w:id="0"/>
      <w:r w:rsidDel="00000000" w:rsidR="00000000" w:rsidRPr="00000000">
        <w:rPr>
          <w:rFonts w:ascii="Arial" w:cs="Arial" w:eastAsia="Arial" w:hAnsi="Arial"/>
          <w:b w:val="1"/>
          <w:bCs w:val="1"/>
          <w:sz w:val="18"/>
          <w:szCs w:val="18"/>
          <w:rtl w:val="0"/>
        </w:rPr>
        <w:t xml:space="preserve">DICHIARAZIONE NUMERO DIPENDENTI e OBBLIGHI ASSUNZIONALI</w:t>
      </w:r>
    </w:p>
    <w:tbl>
      <w:tblPr>
        <w:tblStyle w:val="Table1"/>
        <w:tblW w:w="962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2"/>
        <w:gridCol w:w="2778"/>
        <w:gridCol w:w="6288"/>
        <w:tblGridChange w:id="0">
          <w:tblGrid>
            <w:gridCol w:w="562"/>
            <w:gridCol w:w="2778"/>
            <w:gridCol w:w="6288"/>
          </w:tblGrid>
        </w:tblGridChange>
      </w:tblGrid>
      <w:tr>
        <w:trPr>
          <w:cantSplit w:val="0"/>
          <w:tblHeader w:val="0"/>
        </w:trPr>
        <w:tc>
          <w:tcPr>
            <w:gridSpan w:val="2"/>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1"/>
                <w:iCs w:val="1"/>
                <w:smallCaps w:val="0"/>
                <w:strike w:val="0"/>
                <w:color w:val="000000"/>
                <w:sz w:val="18"/>
                <w:szCs w:val="18"/>
                <w:u w:val="none"/>
                <w:shd w:fill="auto" w:val="clear"/>
                <w:vertAlign w:val="baseline"/>
              </w:rPr>
            </w:pP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Il sottoscritto</w:t>
            </w:r>
            <w:r w:rsidDel="00000000" w:rsidR="00000000" w:rsidRPr="00000000">
              <w:rPr>
                <w:rtl w:val="0"/>
              </w:rPr>
            </w:r>
          </w:p>
        </w:tc>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1"/>
                <w:iCs w:val="1"/>
                <w:smallCaps w:val="0"/>
                <w:strike w:val="0"/>
                <w:color w:val="000000"/>
                <w:sz w:val="18"/>
                <w:szCs w:val="18"/>
                <w:u w:val="none"/>
                <w:shd w:fill="auto" w:val="clear"/>
                <w:vertAlign w:val="baseline"/>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1"/>
                <w:iCs w:val="1"/>
                <w:smallCaps w:val="0"/>
                <w:strike w:val="0"/>
                <w:color w:val="000000"/>
                <w:sz w:val="18"/>
                <w:szCs w:val="18"/>
                <w:u w:val="none"/>
                <w:shd w:fill="auto" w:val="clear"/>
                <w:vertAlign w:val="baseline"/>
              </w:rPr>
            </w:pP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Codice fiscale</w:t>
            </w:r>
            <w:r w:rsidDel="00000000" w:rsidR="00000000" w:rsidRPr="00000000">
              <w:rPr>
                <w:rtl w:val="0"/>
              </w:rPr>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1"/>
                <w:iCs w:val="1"/>
                <w:smallCaps w:val="0"/>
                <w:strike w:val="0"/>
                <w:color w:val="000000"/>
                <w:sz w:val="18"/>
                <w:szCs w:val="18"/>
                <w:u w:val="none"/>
                <w:shd w:fill="auto" w:val="clear"/>
                <w:vertAlign w:val="baseline"/>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1"/>
                <w:iCs w:val="1"/>
                <w:smallCaps w:val="0"/>
                <w:strike w:val="0"/>
                <w:color w:val="000000"/>
                <w:sz w:val="18"/>
                <w:szCs w:val="18"/>
                <w:u w:val="none"/>
                <w:shd w:fill="auto" w:val="clear"/>
                <w:vertAlign w:val="baseline"/>
              </w:rPr>
            </w:pP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Nella sua qualità di:</w:t>
            </w:r>
            <w:r w:rsidDel="00000000" w:rsidR="00000000" w:rsidRPr="00000000">
              <w:rPr>
                <w:rtl w:val="0"/>
              </w:rPr>
            </w:r>
          </w:p>
        </w:tc>
      </w:tr>
      <w:tr>
        <w:trPr>
          <w:cantSplit w:val="0"/>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0" w:before="0" w:line="240" w:lineRule="auto"/>
              <w:ind w:left="0" w:right="0" w:firstLine="0"/>
              <w:jc w:val="center"/>
              <w:rPr>
                <w:rFonts w:ascii="Arial" w:cs="Arial" w:eastAsia="Arial" w:hAnsi="Arial"/>
                <w:i w:val="0"/>
                <w:iCs w:val="0"/>
                <w:smallCaps w:val="0"/>
                <w:strike w:val="0"/>
                <w:color w:val="000000"/>
                <w:sz w:val="18"/>
                <w:szCs w:val="18"/>
                <w:u w:val="none"/>
                <w:shd w:fill="auto" w:val="clear"/>
                <w:vertAlign w:val="baseline"/>
              </w:rPr>
            </w:pP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w:t>
            </w:r>
          </w:p>
        </w:tc>
        <w:tc>
          <w:tcPr>
            <w:gridSpan w:val="2"/>
            <w:vAlign w:val="cente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0"/>
                <w:iCs w:val="0"/>
                <w:smallCaps w:val="0"/>
                <w:strike w:val="0"/>
                <w:color w:val="000000"/>
                <w:sz w:val="18"/>
                <w:szCs w:val="18"/>
                <w:u w:val="none"/>
                <w:shd w:fill="auto" w:val="clear"/>
                <w:vertAlign w:val="baseline"/>
              </w:rPr>
            </w:pP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Titolare o Legale rappresentante</w:t>
            </w:r>
          </w:p>
        </w:tc>
      </w:tr>
      <w:tr>
        <w:trPr>
          <w:cantSplit w:val="0"/>
          <w:tblHeader w:val="0"/>
        </w:trPr>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0" w:before="0" w:line="240" w:lineRule="auto"/>
              <w:ind w:left="0" w:right="0" w:firstLine="0"/>
              <w:jc w:val="center"/>
              <w:rPr>
                <w:rFonts w:ascii="Arial" w:cs="Arial" w:eastAsia="Arial" w:hAnsi="Arial"/>
                <w:i w:val="0"/>
                <w:iCs w:val="0"/>
                <w:smallCaps w:val="0"/>
                <w:strike w:val="0"/>
                <w:color w:val="000000"/>
                <w:sz w:val="18"/>
                <w:szCs w:val="18"/>
                <w:u w:val="none"/>
                <w:shd w:fill="auto" w:val="clear"/>
                <w:vertAlign w:val="baseline"/>
              </w:rPr>
            </w:pP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w:t>
            </w:r>
          </w:p>
        </w:tc>
        <w:tc>
          <w:tcPr>
            <w:gridSpan w:val="2"/>
            <w:vAlign w:val="cente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0"/>
                <w:iCs w:val="0"/>
                <w:smallCaps w:val="0"/>
                <w:strike w:val="0"/>
                <w:color w:val="000000"/>
                <w:sz w:val="18"/>
                <w:szCs w:val="18"/>
                <w:u w:val="none"/>
                <w:shd w:fill="auto" w:val="clear"/>
                <w:vertAlign w:val="baseline"/>
              </w:rPr>
            </w:pP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Procuratore</w:t>
            </w:r>
          </w:p>
        </w:tc>
      </w:tr>
      <w:tr>
        <w:trPr>
          <w:cantSplit w:val="0"/>
          <w:tblHeader w:val="0"/>
        </w:trPr>
        <w:tc>
          <w:tcPr>
            <w:gridSpan w:val="2"/>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1"/>
                <w:iCs w:val="1"/>
                <w:smallCaps w:val="0"/>
                <w:strike w:val="0"/>
                <w:color w:val="000000"/>
                <w:sz w:val="18"/>
                <w:szCs w:val="18"/>
                <w:u w:val="none"/>
                <w:shd w:fill="auto" w:val="clear"/>
                <w:vertAlign w:val="baseline"/>
              </w:rPr>
            </w:pP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Dell’operatore economico</w:t>
            </w:r>
            <w:r w:rsidDel="00000000" w:rsidR="00000000" w:rsidRPr="00000000">
              <w:rPr>
                <w:rtl w:val="0"/>
              </w:rPr>
            </w:r>
          </w:p>
        </w:tc>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1"/>
                <w:iCs w:val="1"/>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1"/>
          <w:iCs w:val="1"/>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1"/>
          <w:iCs w:val="1"/>
          <w:smallCaps w:val="0"/>
          <w:strike w:val="0"/>
          <w:color w:val="000000"/>
          <w:sz w:val="18"/>
          <w:szCs w:val="18"/>
          <w:u w:val="none"/>
          <w:shd w:fill="auto" w:val="clear"/>
          <w:vertAlign w:val="baseline"/>
        </w:rPr>
      </w:pPr>
      <w:r w:rsidDel="00000000" w:rsidR="00000000" w:rsidRPr="00000000">
        <w:rPr>
          <w:rFonts w:ascii="Arial" w:cs="Arial" w:eastAsia="Arial" w:hAnsi="Arial"/>
          <w:i w:val="1"/>
          <w:iCs w:val="1"/>
          <w:smallCaps w:val="0"/>
          <w:strike w:val="0"/>
          <w:color w:val="000000"/>
          <w:sz w:val="18"/>
          <w:szCs w:val="18"/>
          <w:u w:val="none"/>
          <w:shd w:fill="auto" w:val="clear"/>
          <w:vertAlign w:val="baseline"/>
          <w:rtl w:val="0"/>
        </w:rPr>
        <w:t xml:space="preserve">(in caso di RTI o di Consorzio ex art. 45, comma 2, lett. e) del codice, costituiti o costituendi, nonché, per i consorzi di cui alle lettere b) e c) del citato art. 45, dal Consorzio e dalle consorziate designate quali esecutrici nonché per il G.E.I.E. non ancora costituito, replicare la tabella e compilarla per ogni sottoscrittore)</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1"/>
          <w:iCs w:val="1"/>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18"/>
          <w:szCs w:val="18"/>
          <w:u w:val="none"/>
          <w:shd w:fill="auto" w:val="clear"/>
          <w:vertAlign w:val="baseline"/>
        </w:rPr>
      </w:pP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ai sensi degli articoli 46 e 47 del D.P.R. 28 dicembre 2000, n. 445</w:t>
      </w:r>
      <w:r w:rsidDel="00000000" w:rsidR="00000000" w:rsidRPr="00000000">
        <w:rPr>
          <w:rFonts w:ascii="Arial" w:cs="Arial" w:eastAsia="Arial" w:hAnsi="Arial"/>
          <w:sz w:val="18"/>
          <w:szCs w:val="18"/>
          <w:rtl w:val="0"/>
        </w:rPr>
        <w:t xml:space="preserve"> ss.mm.ii</w:t>
      </w: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5" w:right="0" w:firstLine="0"/>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1F">
      <w:pPr>
        <w:widowControl w:val="0"/>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0">
      <w:pPr>
        <w:widowControl w:val="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1">
      <w:pPr>
        <w:widowControl w:val="0"/>
        <w:numPr>
          <w:ilvl w:val="0"/>
          <w:numId w:val="1"/>
        </w:numPr>
        <w:ind w:left="284" w:hanging="283"/>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Consapevole della responsabilità e delle conseguenze civili e penali previste in caso di dichiarazioni mendaci e/o formazione od uso di atti falsi, nonché in caso di esibizione di atti contenenti dati non più corrispondenti a verità;</w:t>
      </w:r>
    </w:p>
    <w:p w:rsidR="00000000" w:rsidDel="00000000" w:rsidP="00000000" w:rsidRDefault="00000000" w:rsidRPr="00000000" w14:paraId="00000022">
      <w:pPr>
        <w:widowControl w:val="0"/>
        <w:numPr>
          <w:ilvl w:val="0"/>
          <w:numId w:val="1"/>
        </w:numPr>
        <w:ind w:left="284" w:hanging="283"/>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Consapevole che il mancato rispetto degli obblighi in materia di lavoro delle persone con disabilità di cui alla L. 68/1999 comporterà la revoca dell’affidamento; </w:t>
      </w:r>
    </w:p>
    <w:p w:rsidR="00000000" w:rsidDel="00000000" w:rsidP="00000000" w:rsidRDefault="00000000" w:rsidRPr="00000000" w14:paraId="00000023">
      <w:pPr>
        <w:widowControl w:val="0"/>
        <w:numPr>
          <w:ilvl w:val="0"/>
          <w:numId w:val="1"/>
        </w:numPr>
        <w:ind w:left="284" w:hanging="283"/>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Consapevole che il mancato rispetto della quota di assunzioni di giovani e donne nella percentuale del 30%, come calcolata in base alle Linee guida approvate con Decreto della Presidenza del Consiglio dei Ministri – Dipartimento Pari Opportunità, 7/12/2021 (G.U.R.I. 30/12/2021), comporterà l’applicazione di una penale quantificata tra il 1% ed il 4% del valore dell’affidamento, a seconda della gravità dell’inadempimento;</w:t>
      </w:r>
    </w:p>
    <w:p w:rsidR="00000000" w:rsidDel="00000000" w:rsidP="00000000" w:rsidRDefault="00000000" w:rsidRPr="00000000" w14:paraId="00000024">
      <w:pPr>
        <w:widowControl w:val="0"/>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25">
      <w:pPr>
        <w:widowControl w:val="0"/>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DICHIARA</w:t>
      </w:r>
    </w:p>
    <w:p w:rsidR="00000000" w:rsidDel="00000000" w:rsidP="00000000" w:rsidRDefault="00000000" w:rsidRPr="00000000" w14:paraId="00000026">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7">
      <w:pPr>
        <w:widowControl w:val="0"/>
        <w:numPr>
          <w:ilvl w:val="0"/>
          <w:numId w:val="1"/>
        </w:numPr>
        <w:ind w:left="284" w:hanging="283"/>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Che l’operatore economico ha assolto gli obblighi in materia di lavoro delle persone con disabilità di cui alla legge 12 marzo 1999, n. 68;</w:t>
      </w:r>
    </w:p>
    <w:p w:rsidR="00000000" w:rsidDel="00000000" w:rsidP="00000000" w:rsidRDefault="00000000" w:rsidRPr="00000000" w14:paraId="00000028">
      <w:pPr>
        <w:widowControl w:val="0"/>
        <w:numPr>
          <w:ilvl w:val="0"/>
          <w:numId w:val="1"/>
        </w:numPr>
        <w:ind w:left="284" w:hanging="283"/>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nei limiti delle disponibilità del mercato del lavoro per il settore di riferimento, ove per l’esecuzione del contratto medesimo o per la realizzazione di attività ad esso connesse o strumentali, fosse necessario procedere con nuove assunzioni in numero pari o superiore a tre unità, assume l’obbligo di assicurare una quota pari:</w:t>
      </w:r>
    </w:p>
    <w:p w:rsidR="00000000" w:rsidDel="00000000" w:rsidP="00000000" w:rsidRDefault="00000000" w:rsidRPr="00000000" w14:paraId="00000029">
      <w:pPr>
        <w:widowControl w:val="0"/>
        <w:numPr>
          <w:ilvl w:val="1"/>
          <w:numId w:val="2"/>
        </w:numPr>
        <w:ind w:left="851" w:hanging="284"/>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almeno al 30% delle nuove assunzioni necessarie all’occupazione giovanile; </w:t>
      </w:r>
      <w:r w:rsidDel="00000000" w:rsidR="00000000" w:rsidRPr="00000000">
        <w:rPr>
          <w:rtl w:val="0"/>
        </w:rPr>
      </w:r>
    </w:p>
    <w:p w:rsidR="00000000" w:rsidDel="00000000" w:rsidP="00000000" w:rsidRDefault="00000000" w:rsidRPr="00000000" w14:paraId="0000002A">
      <w:pPr>
        <w:widowControl w:val="0"/>
        <w:numPr>
          <w:ilvl w:val="1"/>
          <w:numId w:val="2"/>
        </w:numPr>
        <w:ind w:left="851" w:hanging="284"/>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almeno al 30% delle nuove assunzioni necessarie all’occupazione femminile;</w:t>
      </w:r>
    </w:p>
    <w:p w:rsidR="00000000" w:rsidDel="00000000" w:rsidP="00000000" w:rsidRDefault="00000000" w:rsidRPr="00000000" w14:paraId="0000002B">
      <w:pPr>
        <w:widowControl w:val="0"/>
        <w:ind w:left="1800" w:firstLine="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284" w:right="0" w:hanging="283"/>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di applicare il seguente CCNL   _______________ ;</w:t>
      </w:r>
    </w:p>
    <w:p w:rsidR="00000000" w:rsidDel="00000000" w:rsidP="00000000" w:rsidRDefault="00000000" w:rsidRPr="00000000" w14:paraId="0000002D">
      <w:pPr>
        <w:widowControl w:val="0"/>
        <w:ind w:left="0" w:firstLine="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E">
      <w:pPr>
        <w:widowControl w:val="0"/>
        <w:numPr>
          <w:ilvl w:val="0"/>
          <w:numId w:val="2"/>
        </w:numPr>
        <w:ind w:left="284" w:hanging="283"/>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Che l’impresa occupa, alla data di presentazione della presente, un numero di dipendenti pari a _________ e pertanto:</w:t>
      </w:r>
    </w:p>
    <w:p w:rsidR="00000000" w:rsidDel="00000000" w:rsidP="00000000" w:rsidRDefault="00000000" w:rsidRPr="00000000" w14:paraId="0000002F">
      <w:pPr>
        <w:widowControl w:val="0"/>
        <w:ind w:left="1425" w:firstLine="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0">
      <w:pPr>
        <w:widowControl w:val="0"/>
        <w:numPr>
          <w:ilvl w:val="0"/>
          <w:numId w:val="1"/>
        </w:numPr>
        <w:ind w:left="1440" w:hanging="360"/>
        <w:jc w:val="both"/>
        <w:rPr>
          <w:rFonts w:ascii="Arial" w:cs="Arial" w:eastAsia="Arial" w:hAnsi="Arial"/>
          <w:sz w:val="18"/>
          <w:szCs w:val="18"/>
        </w:rPr>
      </w:pPr>
      <w:r w:rsidDel="00000000" w:rsidR="00000000" w:rsidRPr="00000000">
        <w:rPr>
          <w:rFonts w:ascii="Arial" w:cs="Arial" w:eastAsia="Arial" w:hAnsi="Arial"/>
          <w:i w:val="1"/>
          <w:iCs w:val="1"/>
          <w:sz w:val="18"/>
          <w:szCs w:val="18"/>
          <w:rtl w:val="0"/>
        </w:rPr>
        <w:t xml:space="preserve">[se oltre 50 dipendenti]</w:t>
      </w:r>
      <w:r w:rsidDel="00000000" w:rsidR="00000000" w:rsidRPr="00000000">
        <w:rPr>
          <w:rFonts w:ascii="Arial" w:cs="Arial" w:eastAsia="Arial" w:hAnsi="Arial"/>
          <w:sz w:val="18"/>
          <w:szCs w:val="18"/>
          <w:rtl w:val="0"/>
        </w:rPr>
        <w:t xml:space="preserve"> consegna, allegata alla presente, copia dell'ultimo rapporto periodico sulla situazione del personale maschile e femminile redatto ai sensi dell’articolo 46, decreto legislativo n. 198 del 2006, unitamente all’attestazione di conformità a quello già trasmesso alle rappresentanze sindacali aziendali e ai consiglieri regionali di parità ovvero, in mancanza di tale precedente trasmissione, unitamente all’attestazione della sua contestuale trasmissione alle rappresentanze sindacali aziendali e alla consigliera e al consigliere regionale di parità;</w:t>
      </w:r>
    </w:p>
    <w:p w:rsidR="00000000" w:rsidDel="00000000" w:rsidP="00000000" w:rsidRDefault="00000000" w:rsidRPr="00000000" w14:paraId="00000031">
      <w:pPr>
        <w:widowControl w:val="0"/>
        <w:numPr>
          <w:ilvl w:val="0"/>
          <w:numId w:val="1"/>
        </w:numPr>
        <w:ind w:left="1440" w:hanging="360"/>
        <w:jc w:val="both"/>
        <w:rPr>
          <w:rFonts w:ascii="Arial" w:cs="Arial" w:eastAsia="Arial" w:hAnsi="Arial"/>
          <w:sz w:val="18"/>
          <w:szCs w:val="18"/>
        </w:rPr>
      </w:pPr>
      <w:r w:rsidDel="00000000" w:rsidR="00000000" w:rsidRPr="00000000">
        <w:rPr>
          <w:rFonts w:ascii="Arial" w:cs="Arial" w:eastAsia="Arial" w:hAnsi="Arial"/>
          <w:i w:val="1"/>
          <w:iCs w:val="1"/>
          <w:sz w:val="18"/>
          <w:szCs w:val="18"/>
          <w:rtl w:val="0"/>
        </w:rPr>
        <w:t xml:space="preserve">[se numero di dipendenti compreso tra 15 e 50] </w:t>
      </w:r>
      <w:r w:rsidDel="00000000" w:rsidR="00000000" w:rsidRPr="00000000">
        <w:rPr>
          <w:rFonts w:ascii="Arial" w:cs="Arial" w:eastAsia="Arial" w:hAnsi="Arial"/>
          <w:sz w:val="18"/>
          <w:szCs w:val="18"/>
          <w:rtl w:val="0"/>
        </w:rPr>
        <w:t xml:space="preserve">non è tenuta al rispetto di quanto prescritto dall’art. 47, comma 2 del DL. n. 77/2021 e si impegna a consegnare alla stazione appaltante, entro 6 mesi dalla conclusione del contratto, una relazione di genere sulla situazione del personale maschile e femminile (art. 47 comma 3) e una dichiarazione del rappresentante legale che attesti di essere in regola con le norme che disciplinano il diritto al lavoro delle persone con disabilità e una relazione che chiarisca l'assolvimento degli obblighi previsti dalla legge n. 68/1999 e indichi eventuali sanzioni/ provvedimenti disposti a loro carico nei 3 anni precedenti la data di scadenza della presentazione delle offerte (art. 47 comma 3-bis);</w:t>
      </w:r>
    </w:p>
    <w:p w:rsidR="00000000" w:rsidDel="00000000" w:rsidP="00000000" w:rsidRDefault="00000000" w:rsidRPr="00000000" w14:paraId="00000032">
      <w:pPr>
        <w:widowControl w:val="0"/>
        <w:numPr>
          <w:ilvl w:val="0"/>
          <w:numId w:val="1"/>
        </w:numPr>
        <w:ind w:left="1440" w:hanging="360"/>
        <w:jc w:val="both"/>
        <w:rPr>
          <w:rFonts w:ascii="Arial" w:cs="Arial" w:eastAsia="Arial" w:hAnsi="Arial"/>
          <w:sz w:val="18"/>
          <w:szCs w:val="18"/>
        </w:rPr>
      </w:pPr>
      <w:r w:rsidDel="00000000" w:rsidR="00000000" w:rsidRPr="00000000">
        <w:rPr>
          <w:rFonts w:ascii="Arial" w:cs="Arial" w:eastAsia="Arial" w:hAnsi="Arial"/>
          <w:i w:val="1"/>
          <w:iCs w:val="1"/>
          <w:sz w:val="18"/>
          <w:szCs w:val="18"/>
          <w:rtl w:val="0"/>
        </w:rPr>
        <w:t xml:space="preserve">[se numero di dipendenti inferiore a 15]</w:t>
      </w:r>
      <w:r w:rsidDel="00000000" w:rsidR="00000000" w:rsidRPr="00000000">
        <w:rPr>
          <w:rFonts w:ascii="Arial" w:cs="Arial" w:eastAsia="Arial" w:hAnsi="Arial"/>
          <w:sz w:val="18"/>
          <w:szCs w:val="18"/>
          <w:rtl w:val="0"/>
        </w:rPr>
        <w:t xml:space="preserve"> non è tenuta al rispetto di quanto prescritto dall’art. 47, comma 2 e 3 del DL. n. 77/2021;</w:t>
      </w:r>
    </w:p>
    <w:p w:rsidR="00000000" w:rsidDel="00000000" w:rsidP="00000000" w:rsidRDefault="00000000" w:rsidRPr="00000000" w14:paraId="00000033">
      <w:pPr>
        <w:rPr>
          <w:sz w:val="22"/>
          <w:szCs w:val="22"/>
        </w:rPr>
      </w:pPr>
      <w:r w:rsidDel="00000000" w:rsidR="00000000" w:rsidRPr="00000000">
        <w:rPr>
          <w:rtl w:val="0"/>
        </w:rPr>
      </w:r>
    </w:p>
    <w:p w:rsidR="00000000" w:rsidDel="00000000" w:rsidP="00000000" w:rsidRDefault="00000000" w:rsidRPr="00000000" w14:paraId="00000034">
      <w:pPr>
        <w:widowControl w:val="0"/>
        <w:ind w:left="0" w:firstLine="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5">
      <w:pPr>
        <w:widowControl w:val="0"/>
        <w:jc w:val="both"/>
        <w:rPr>
          <w:rFonts w:ascii="Arial" w:cs="Arial" w:eastAsia="Arial" w:hAnsi="Arial"/>
          <w:b w:val="1"/>
          <w:bCs w:val="1"/>
          <w:i w:val="1"/>
          <w:iCs w:val="1"/>
          <w:sz w:val="18"/>
          <w:szCs w:val="18"/>
          <w:u w:val="single"/>
        </w:rPr>
      </w:pPr>
      <w:r w:rsidDel="00000000" w:rsidR="00000000" w:rsidRPr="00000000">
        <w:rPr>
          <w:rtl w:val="0"/>
        </w:rPr>
      </w:r>
    </w:p>
    <w:p w:rsidR="00000000" w:rsidDel="00000000" w:rsidP="00000000" w:rsidRDefault="00000000" w:rsidRPr="00000000" w14:paraId="00000036">
      <w:pPr>
        <w:widowControl w:val="0"/>
        <w:jc w:val="both"/>
        <w:rPr>
          <w:rFonts w:ascii="Arial" w:cs="Arial" w:eastAsia="Arial" w:hAnsi="Arial"/>
          <w:b w:val="1"/>
          <w:bCs w:val="1"/>
          <w:i w:val="1"/>
          <w:iCs w:val="1"/>
          <w:sz w:val="18"/>
          <w:szCs w:val="18"/>
          <w:u w:val="single"/>
        </w:rPr>
      </w:pPr>
      <w:r w:rsidDel="00000000" w:rsidR="00000000" w:rsidRPr="00000000">
        <w:rPr>
          <w:rtl w:val="0"/>
        </w:rPr>
      </w:r>
    </w:p>
    <w:p w:rsidR="00000000" w:rsidDel="00000000" w:rsidP="00000000" w:rsidRDefault="00000000" w:rsidRPr="00000000" w14:paraId="00000037">
      <w:pPr>
        <w:widowControl w:val="0"/>
        <w:jc w:val="right"/>
        <w:rPr>
          <w:rFonts w:ascii="Arial" w:cs="Arial" w:eastAsia="Arial" w:hAnsi="Arial"/>
          <w:sz w:val="18"/>
          <w:szCs w:val="18"/>
        </w:rPr>
      </w:pPr>
      <w:bookmarkStart w:colFirst="0" w:colLast="0" w:name="_heading=h.30j0zll" w:id="1"/>
      <w:bookmarkEnd w:id="1"/>
      <w:r w:rsidDel="00000000" w:rsidR="00000000" w:rsidRPr="00000000">
        <w:rPr>
          <w:rFonts w:ascii="Arial" w:cs="Arial" w:eastAsia="Arial" w:hAnsi="Arial"/>
          <w:sz w:val="18"/>
          <w:szCs w:val="18"/>
          <w:rtl w:val="0"/>
        </w:rPr>
        <w:t xml:space="preserve">Firma digitale</w:t>
      </w:r>
      <w:r w:rsidDel="00000000" w:rsidR="00000000" w:rsidRPr="00000000">
        <w:rPr>
          <w:rFonts w:ascii="Arial" w:cs="Arial" w:eastAsia="Arial" w:hAnsi="Arial"/>
          <w:sz w:val="18"/>
          <w:szCs w:val="18"/>
          <w:vertAlign w:val="superscript"/>
        </w:rPr>
        <w:footnoteReference w:customMarkFollows="0" w:id="0"/>
      </w:r>
      <w:r w:rsidDel="00000000" w:rsidR="00000000" w:rsidRPr="00000000">
        <w:rPr>
          <w:rFonts w:ascii="Arial" w:cs="Arial" w:eastAsia="Arial" w:hAnsi="Arial"/>
          <w:sz w:val="18"/>
          <w:szCs w:val="18"/>
          <w:rtl w:val="0"/>
        </w:rPr>
        <w:t xml:space="preserve"> del legale rappresentante/procuratore</w:t>
      </w:r>
      <w:r w:rsidDel="00000000" w:rsidR="00000000" w:rsidRPr="00000000">
        <w:rPr>
          <w:rFonts w:ascii="Arial" w:cs="Arial" w:eastAsia="Arial" w:hAnsi="Arial"/>
          <w:sz w:val="18"/>
          <w:szCs w:val="18"/>
          <w:vertAlign w:val="superscript"/>
        </w:rPr>
        <w:footnoteReference w:customMarkFollows="0" w:id="1"/>
      </w:r>
      <w:r w:rsidDel="00000000" w:rsidR="00000000" w:rsidRPr="00000000">
        <w:rPr>
          <w:rFonts w:ascii="Arial" w:cs="Arial" w:eastAsia="Arial" w:hAnsi="Arial"/>
          <w:sz w:val="18"/>
          <w:szCs w:val="18"/>
          <w:rtl w:val="0"/>
        </w:rPr>
        <w:t xml:space="preserve"> di tutti i sottoscrittori</w:t>
      </w:r>
    </w:p>
    <w:p w:rsidR="00000000" w:rsidDel="00000000" w:rsidP="00000000" w:rsidRDefault="00000000" w:rsidRPr="00000000" w14:paraId="00000038">
      <w:pPr>
        <w:widowControl w:val="0"/>
        <w:jc w:val="right"/>
        <w:rPr>
          <w:rFonts w:ascii="Arial" w:cs="Arial" w:eastAsia="Arial" w:hAnsi="Arial"/>
          <w:sz w:val="18"/>
          <w:szCs w:val="18"/>
        </w:rPr>
      </w:pPr>
      <w:bookmarkStart w:colFirst="0" w:colLast="0" w:name="_heading=h.tqpbf373p7we" w:id="2"/>
      <w:bookmarkEnd w:id="2"/>
      <w:r w:rsidDel="00000000" w:rsidR="00000000" w:rsidRPr="00000000">
        <w:rPr>
          <w:rtl w:val="0"/>
        </w:rPr>
      </w:r>
    </w:p>
    <w:p w:rsidR="00000000" w:rsidDel="00000000" w:rsidP="00000000" w:rsidRDefault="00000000" w:rsidRPr="00000000" w14:paraId="00000039">
      <w:pPr>
        <w:widowControl w:val="0"/>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A">
      <w:pPr>
        <w:widowControl w:val="0"/>
        <w:rPr>
          <w:rFonts w:ascii="Arial" w:cs="Arial" w:eastAsia="Arial" w:hAnsi="Arial"/>
          <w:sz w:val="18"/>
          <w:szCs w:val="18"/>
        </w:rPr>
      </w:pPr>
      <w:r w:rsidDel="00000000" w:rsidR="00000000" w:rsidRPr="00000000">
        <w:rPr>
          <w:rtl w:val="0"/>
        </w:rPr>
      </w:r>
    </w:p>
    <w:tbl>
      <w:tblPr>
        <w:tblStyle w:val="Table2"/>
        <w:tblW w:w="9202.0" w:type="dxa"/>
        <w:jc w:val="left"/>
        <w:tblInd w:w="426.0" w:type="dxa"/>
        <w:tblLayout w:type="fixed"/>
        <w:tblLook w:val="0400"/>
      </w:tblPr>
      <w:tblGrid>
        <w:gridCol w:w="9202"/>
        <w:tblGridChange w:id="0">
          <w:tblGrid>
            <w:gridCol w:w="920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B">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C">
            <w:pPr>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CHIARIMENTI</w:t>
            </w:r>
          </w:p>
          <w:p w:rsidR="00000000" w:rsidDel="00000000" w:rsidP="00000000" w:rsidRDefault="00000000" w:rsidRPr="00000000" w14:paraId="0000003D">
            <w:pPr>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3E">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1) Come precisato nelle Linee guida approvate con Decreto della Presidenza del Consiglio dei Ministri – Dipartimento Pari Opportunità, 7/12/2021 (G.U.R.I. 30/12/2021), gli obiettivi di incremento occupazionale giovanile e di genere che si intendono perseguire con le risorse previste dal Regolamento (UE) 2021/240 del Parlamento europeo e del Consiglio del 10 febbraio 2021 e dal Regolamento (UE) 2021/241 del Parlamento europeo e del Consiglio del 12 febbraio 2021, nonchè dal PNC, costituiscono due distinti target di policy. Ciò significa che nelle procedure di affidamento si deve intendere autonomo il target di incremento dell'occupazione giovanile rispetto a quello dell'occupazione femminile. L'obbligo è finalizzato a garantire un incremento sia dei lavoratori giovani sia delle lavoratrici e pertanto la percentuale di incremento deve essere assicurata con riferimento ad entrambe le tipologie. </w:t>
            </w:r>
          </w:p>
          <w:p w:rsidR="00000000" w:rsidDel="00000000" w:rsidP="00000000" w:rsidRDefault="00000000" w:rsidRPr="00000000" w14:paraId="0000003F">
            <w:pPr>
              <w:widowControl w:val="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Fatte salve le deroghe di cui al comma 7, va dunque, ad esempio, esclusa un'azienda che si impegna all'incremento del 30 per cento ottenuto con il 20 per cento di giovani e il 10 per cento di donne, salvo che queste percentuali non rispecchino i criteri per l'applicazione delle deroghe indicati nel seguito. Diversamente va ammessa, ad esempio, l'azienda che garantisce l'impegno con assunzioni che, sebbene nominalmente non superano la percentuale del 30 per cento, garantiscono tuttavia il target con un numero inferiore di unità in tutto o in parte caratterizzate dal doppio requisito di genere ed età (30 per cento di donne con meno di 36 anni oppure 20 per cento di donne con meno di 36 anni, 10 per cento di donne di almeno 36 anni e 10 per cento di uomini con meno di 36 anni). Ad ogni modo, per i dettagli operativo sulle modalità di calcolo, si rinvia alle già citate linee guida.</w:t>
            </w:r>
          </w:p>
          <w:p w:rsidR="00000000" w:rsidDel="00000000" w:rsidP="00000000" w:rsidRDefault="00000000" w:rsidRPr="00000000" w14:paraId="00000040">
            <w:pPr>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41">
            <w:pPr>
              <w:widowControl w:val="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2) Al fine di evitare che l’assunzione dell’obbligo in dichiarazione possa disincentivare la partecipazione o, ancora, determinare negli operatori il convincimento a non allegare la dichiarazione, che costituisce requisito necessario dell’offerta, passibile di esclusione, si ritiene di dover riportare, ad integrazione di quanto indicato nelle già citate linee guida, la risposta data al quesito sottostante dal Servizio Supporto Giuridico del MIT (Codice identificativo: 1133 Data ricezione: 12/01/2022 Argomento: Appalti PNRR e PNC):</w:t>
            </w:r>
          </w:p>
          <w:p w:rsidR="00000000" w:rsidDel="00000000" w:rsidP="00000000" w:rsidRDefault="00000000" w:rsidRPr="00000000" w14:paraId="00000042">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3">
            <w:pPr>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Oggetto: Contratti finanziati con PNRR - requisito quota 30% di assunzioni occupazione giovanile e femminile</w:t>
            </w:r>
          </w:p>
          <w:p w:rsidR="00000000" w:rsidDel="00000000" w:rsidP="00000000" w:rsidRDefault="00000000" w:rsidRPr="00000000" w14:paraId="00000044">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5">
            <w:pPr>
              <w:jc w:val="both"/>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Quesito</w:t>
            </w: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i w:val="1"/>
                <w:iCs w:val="1"/>
                <w:sz w:val="18"/>
                <w:szCs w:val="18"/>
                <w:rtl w:val="0"/>
              </w:rPr>
              <w:t xml:space="preserve">Per i contratti pubblici finanziati con risorse del PNRR e del PNC al comma 4 dell'art. 47 del Decreto legge 31 maggio 2021 n. 77 è previsto, quale requisito necessario per l’offerta, l’assunzione dell’obbligo di assicurare, in caso di aggiudicazione del contratto, una quota pari almeno al 30 per cento, delle assunzioni necessarie per l'esecuzione del contratto o per la realizzazione di attività ad esso connesse o strumentali, sia all'occupazione giovanile sia all'occupazione femminile. Si chiede a riguardo cosa si intenda per "assunzioni necessarie" e, in particolare, se tale obbligo di assunzione sussista solo qualora il datore di lavoro abbia una effettiva necessità di ricorrere a nuove assunzioni per poter svolgere le attività oggetto della gara, e quindi la misura del 30% sia da riferirsi al numero di nuovi assunti, oppure se sussista l'obbligo di effettuare nuovi assunzioni anche nel caso in cui il datore di lavoro abbia già un numero di dipendenti tale da consentirgli di eseguire le attività oggetto della gara.</w:t>
            </w:r>
            <w:r w:rsidDel="00000000" w:rsidR="00000000" w:rsidRPr="00000000">
              <w:rPr>
                <w:rtl w:val="0"/>
              </w:rPr>
            </w:r>
          </w:p>
          <w:p w:rsidR="00000000" w:rsidDel="00000000" w:rsidP="00000000" w:rsidRDefault="00000000" w:rsidRPr="00000000" w14:paraId="00000046">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7">
            <w:pPr>
              <w:jc w:val="both"/>
              <w:rPr>
                <w:rFonts w:ascii="Arial" w:cs="Arial" w:eastAsia="Arial" w:hAnsi="Arial"/>
                <w:i w:val="1"/>
                <w:iCs w:val="1"/>
                <w:sz w:val="18"/>
                <w:szCs w:val="18"/>
                <w:u w:val="single"/>
              </w:rPr>
            </w:pPr>
            <w:r w:rsidDel="00000000" w:rsidR="00000000" w:rsidRPr="00000000">
              <w:rPr>
                <w:rFonts w:ascii="Arial" w:cs="Arial" w:eastAsia="Arial" w:hAnsi="Arial"/>
                <w:b w:val="1"/>
                <w:bCs w:val="1"/>
                <w:sz w:val="18"/>
                <w:szCs w:val="18"/>
                <w:rtl w:val="0"/>
              </w:rPr>
              <w:t xml:space="preserve">Risposta</w:t>
            </w: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i w:val="1"/>
                <w:iCs w:val="1"/>
                <w:sz w:val="18"/>
                <w:szCs w:val="18"/>
                <w:rtl w:val="0"/>
              </w:rPr>
              <w:t xml:space="preserve">In merito all’assunzione dell'obbligo di assicurare, in caso di aggiudicazioni ricadenti nel PNRR e PNC, si rinvia alle previsioni di cui al Paragrafo 5 delle “Linee guida volte a favorire la pari opportunità di genere e generazionali, nonché l'inclusione lavorativa delle persone con disabilità nei contratti pubblici finanziati con le risorse del PNRR e del PNC” approvate con DM 7 dicembre 2021, pubblicate nella Gazzetta Ufficiale 30 dicembre 2021, n. 309. In base a dette Linee guida la quota del 30% dei neoassunti destinati a nuova occupazione giovanile e femminile (art. 47, comma 4, del DL n. 77/2021), </w:t>
            </w:r>
            <w:r w:rsidDel="00000000" w:rsidR="00000000" w:rsidRPr="00000000">
              <w:rPr>
                <w:rFonts w:ascii="Arial" w:cs="Arial" w:eastAsia="Arial" w:hAnsi="Arial"/>
                <w:i w:val="1"/>
                <w:iCs w:val="1"/>
                <w:sz w:val="18"/>
                <w:szCs w:val="18"/>
                <w:u w:val="single"/>
                <w:rtl w:val="0"/>
              </w:rPr>
              <w:t xml:space="preserve">deve essere riferita unicamente alle assunzioni “necessarie per l'esecuzione del contratto o per la realizzazione di attività ad esso connesse o strumentali”, da determinarsi avendo riguardo all’intero arco temporale di esecuzione del contratto ed applicando un criterio di funzionalità di dette nuove assunzioni rispetto all’esecuzione del contratto aggiudicato nei tempi e secondo le modalità previste.</w:t>
            </w:r>
          </w:p>
          <w:p w:rsidR="00000000" w:rsidDel="00000000" w:rsidP="00000000" w:rsidRDefault="00000000" w:rsidRPr="00000000" w14:paraId="00000048">
            <w:pPr>
              <w:jc w:val="both"/>
              <w:rPr>
                <w:rFonts w:ascii="Arial" w:cs="Arial" w:eastAsia="Arial" w:hAnsi="Arial"/>
                <w:sz w:val="18"/>
                <w:szCs w:val="18"/>
              </w:rPr>
            </w:pPr>
            <w:r w:rsidDel="00000000" w:rsidR="00000000" w:rsidRPr="00000000">
              <w:rPr>
                <w:rFonts w:ascii="Arial" w:cs="Arial" w:eastAsia="Arial" w:hAnsi="Arial"/>
                <w:i w:val="1"/>
                <w:iCs w:val="1"/>
                <w:sz w:val="18"/>
                <w:szCs w:val="18"/>
                <w:rtl w:val="0"/>
              </w:rPr>
              <w:t xml:space="preserve">Non è richiesto, quindi, che l’operatore si impegni ad assumere personale, nel caso in cui la prestazione possa essere eseguita con personale già contrattualizzato.</w:t>
            </w:r>
            <w:r w:rsidDel="00000000" w:rsidR="00000000" w:rsidRPr="00000000">
              <w:rPr>
                <w:rtl w:val="0"/>
              </w:rPr>
            </w:r>
          </w:p>
          <w:p w:rsidR="00000000" w:rsidDel="00000000" w:rsidP="00000000" w:rsidRDefault="00000000" w:rsidRPr="00000000" w14:paraId="00000049">
            <w:pPr>
              <w:jc w:val="both"/>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04A">
      <w:pPr>
        <w:widowControl w:val="0"/>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5" w:right="0" w:firstLine="0"/>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5" w:right="0" w:firstLine="0"/>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4E">
      <w:pPr>
        <w:jc w:val="right"/>
        <w:rPr>
          <w:sz w:val="22"/>
          <w:szCs w:val="22"/>
        </w:rPr>
      </w:pPr>
      <w:r w:rsidDel="00000000" w:rsidR="00000000" w:rsidRPr="00000000">
        <w:rPr>
          <w:rtl w:val="0"/>
        </w:rPr>
      </w:r>
    </w:p>
    <w:sectPr>
      <w:headerReference r:id="rId8" w:type="default"/>
      <w:footerReference r:id="rId9" w:type="default"/>
      <w:pgSz w:h="16838" w:w="11906" w:orient="portrait"/>
      <w:pgMar w:bottom="1134" w:top="1985" w:left="1134" w:right="1134"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Courier New"/>
  <w:font w:name="Liberation Sans"/>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53">
      <w:pPr>
        <w:widowControl w:val="0"/>
        <w:jc w:val="both"/>
        <w:rPr>
          <w:rFonts w:ascii="Times New Roman" w:cs="Times New Roman" w:eastAsia="Times New Roman" w:hAnsi="Times New Roman"/>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Per gli operatori economici italiani o stranieri residenti in Italia, la dichiarazione deve essere sottoscritta da un legale rappresentante ovvero da un procuratore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r w:rsidDel="00000000" w:rsidR="00000000" w:rsidRPr="00000000">
        <w:rPr>
          <w:rtl w:val="0"/>
        </w:rPr>
      </w:r>
    </w:p>
  </w:footnote>
  <w:footnote w:id="1">
    <w:p w:rsidR="00000000" w:rsidDel="00000000" w:rsidP="00000000" w:rsidRDefault="00000000" w:rsidRPr="00000000" w14:paraId="00000054">
      <w:pPr>
        <w:widowControl w:val="0"/>
        <w:jc w:val="both"/>
        <w:rPr>
          <w:rFonts w:ascii="Times New Roman" w:cs="Times New Roman" w:eastAsia="Times New Roman" w:hAnsi="Times New Roman"/>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F">
    <w:pPr>
      <w:spacing w:line="276" w:lineRule="auto"/>
      <w:ind w:left="-708.6614173228347" w:firstLine="0"/>
      <w:jc w:val="center"/>
      <w:rPr>
        <w:color w:val="000000"/>
        <w:sz w:val="20"/>
        <w:szCs w:val="2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-666748</wp:posOffset>
          </wp:positionH>
          <wp:positionV relativeFrom="paragraph">
            <wp:posOffset>-450213</wp:posOffset>
          </wp:positionV>
          <wp:extent cx="6942773" cy="1069467"/>
          <wp:effectExtent b="0" l="0" r="0" t="0"/>
          <wp:wrapTopAndBottom distB="0" distT="0"/>
          <wp:docPr id="2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942773" cy="1069467"/>
                  </a:xfrm>
                  <a:prstGeom prst="rect"/>
                  <a:ln/>
                </pic:spPr>
              </pic:pic>
            </a:graphicData>
          </a:graphic>
        </wp:anchor>
      </w:drawing>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1425" w:hanging="705"/>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i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Calibri" w:cs="Calibri" w:eastAsia="Calibri" w:hAnsi="Calibri"/>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Calibri" w:cs="Calibri" w:eastAsia="Calibri" w:hAnsi="Calibri"/>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Calibri" w:cs="Calibri" w:eastAsia="Calibri" w:hAnsi="Calibri"/>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spacing w:after="60" w:before="240" w:lineRule="auto"/>
    </w:pPr>
    <w:rPr>
      <w:rFonts w:ascii="Calibri" w:cs="Calibri" w:eastAsia="Calibri" w:hAnsi="Calibri"/>
      <w:b w:val="1"/>
      <w:bCs w:val="1"/>
      <w:sz w:val="28"/>
      <w:szCs w:val="28"/>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Calibri" w:cs="Calibri" w:eastAsia="Calibri" w:hAnsi="Calibri"/>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Calibri" w:cs="Calibri" w:eastAsia="Calibri" w:hAnsi="Calibri"/>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keepNext w:val="1"/>
      <w:spacing w:after="120" w:before="240" w:lineRule="auto"/>
    </w:pPr>
    <w:rPr>
      <w:rFonts w:ascii="Liberation Sans" w:cs="Liberation Sans" w:eastAsia="Liberation Sans" w:hAnsi="Liberation Sans"/>
      <w:sz w:val="28"/>
      <w:szCs w:val="28"/>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character" w:styleId="IntestazioneCarattere" w:customStyle="1">
    <w:name w:val="Intestazione Carattere"/>
    <w:basedOn w:val="Carpredefinitoparagrafo"/>
    <w:link w:val="Intestazione"/>
    <w:uiPriority w:val="99"/>
    <w:qFormat w:val="1"/>
    <w:rsid w:val="00A20920"/>
  </w:style>
  <w:style w:type="character" w:styleId="PidipaginaCarattere" w:customStyle="1">
    <w:name w:val="Piè di pagina Carattere"/>
    <w:basedOn w:val="Carpredefinitoparagrafo"/>
    <w:link w:val="Pidipagina"/>
    <w:uiPriority w:val="99"/>
    <w:qFormat w:val="1"/>
    <w:rsid w:val="00A20920"/>
  </w:style>
  <w:style w:type="character" w:styleId="Rimandocommento">
    <w:name w:val="annotation reference"/>
    <w:basedOn w:val="Carpredefinitoparagrafo"/>
    <w:uiPriority w:val="99"/>
    <w:semiHidden w:val="1"/>
    <w:unhideWhenUsed w:val="1"/>
    <w:qFormat w:val="1"/>
    <w:rsid w:val="00EE62F2"/>
    <w:rPr>
      <w:sz w:val="16"/>
      <w:szCs w:val="16"/>
    </w:rPr>
  </w:style>
  <w:style w:type="character" w:styleId="TestocommentoCarattere" w:customStyle="1">
    <w:name w:val="Testo commento Carattere"/>
    <w:basedOn w:val="Carpredefinitoparagrafo"/>
    <w:link w:val="Testocommento"/>
    <w:uiPriority w:val="99"/>
    <w:semiHidden w:val="1"/>
    <w:qFormat w:val="1"/>
    <w:rsid w:val="00EE62F2"/>
    <w:rPr>
      <w:sz w:val="20"/>
      <w:szCs w:val="20"/>
    </w:rPr>
  </w:style>
  <w:style w:type="character" w:styleId="SoggettocommentoCarattere" w:customStyle="1">
    <w:name w:val="Soggetto commento Carattere"/>
    <w:basedOn w:val="TestocommentoCarattere"/>
    <w:link w:val="Soggettocommento"/>
    <w:uiPriority w:val="99"/>
    <w:semiHidden w:val="1"/>
    <w:qFormat w:val="1"/>
    <w:rsid w:val="00EE62F2"/>
    <w:rPr>
      <w:b w:val="1"/>
      <w:bCs w:val="1"/>
      <w:sz w:val="20"/>
      <w:szCs w:val="20"/>
    </w:rPr>
  </w:style>
  <w:style w:type="character" w:styleId="TestofumettoCarattere" w:customStyle="1">
    <w:name w:val="Testo fumetto Carattere"/>
    <w:basedOn w:val="Carpredefinitoparagrafo"/>
    <w:link w:val="Testofumetto"/>
    <w:uiPriority w:val="99"/>
    <w:semiHidden w:val="1"/>
    <w:qFormat w:val="1"/>
    <w:rsid w:val="00531D0C"/>
    <w:rPr>
      <w:rFonts w:ascii="Segoe UI" w:cs="Segoe UI" w:hAnsi="Segoe UI"/>
      <w:sz w:val="18"/>
      <w:szCs w:val="18"/>
    </w:rPr>
  </w:style>
  <w:style w:type="character" w:styleId="Collegamentoipertestuale">
    <w:name w:val="Hyperlink"/>
    <w:basedOn w:val="Carpredefinitoparagrafo"/>
    <w:unhideWhenUsed w:val="1"/>
    <w:rsid w:val="007C67BF"/>
    <w:rPr>
      <w:color w:val="0563c1" w:themeColor="hyperlink"/>
      <w:u w:val="single"/>
    </w:rPr>
  </w:style>
  <w:style w:type="character" w:styleId="TestonotaapidipaginaCarattere" w:customStyle="1">
    <w:name w:val="Testo nota a piè di pagina Carattere"/>
    <w:basedOn w:val="Carpredefinitoparagrafo"/>
    <w:link w:val="Testonotaapidipagina"/>
    <w:uiPriority w:val="99"/>
    <w:qFormat w:val="1"/>
    <w:rsid w:val="001D53C5"/>
    <w:rPr>
      <w:rFonts w:ascii="Times New Roman" w:cs="Times New Roman" w:eastAsia="Times New Roman" w:hAnsi="Times New Roman"/>
      <w:sz w:val="20"/>
      <w:szCs w:val="20"/>
      <w:lang w:eastAsia="it-IT"/>
    </w:rPr>
  </w:style>
  <w:style w:type="character" w:styleId="Caratterinotaapidipagina" w:customStyle="1">
    <w:name w:val="Caratteri nota a piè di pagina"/>
    <w:basedOn w:val="Carpredefinitoparagrafo"/>
    <w:uiPriority w:val="99"/>
    <w:unhideWhenUsed w:val="1"/>
    <w:qFormat w:val="1"/>
    <w:rsid w:val="001D53C5"/>
    <w:rPr>
      <w:vertAlign w:val="superscript"/>
    </w:rPr>
  </w:style>
  <w:style w:type="character" w:styleId="Rimandonotaapidipagina">
    <w:name w:val="footnote reference"/>
    <w:rPr>
      <w:vertAlign w:val="superscript"/>
    </w:rPr>
  </w:style>
  <w:style w:type="character" w:styleId="Corpodeltesto2Carattere" w:customStyle="1">
    <w:name w:val="Corpo del testo 2 Carattere"/>
    <w:basedOn w:val="Carpredefinitoparagrafo"/>
    <w:link w:val="Corpodeltesto2"/>
    <w:uiPriority w:val="99"/>
    <w:qFormat w:val="1"/>
    <w:rsid w:val="001D53C5"/>
    <w:rPr>
      <w:rFonts w:cs="Times New Roman" w:eastAsia="Calibri"/>
      <w:sz w:val="20"/>
      <w:szCs w:val="16"/>
      <w:lang w:eastAsia="it-IT"/>
    </w:rPr>
  </w:style>
  <w:style w:type="character" w:styleId="Titolo4Carattere" w:customStyle="1">
    <w:name w:val="Titolo 4 Carattere"/>
    <w:basedOn w:val="Carpredefinitoparagrafo"/>
    <w:link w:val="Titolo4"/>
    <w:uiPriority w:val="9"/>
    <w:qFormat w:val="1"/>
    <w:rsid w:val="00A368D6"/>
    <w:rPr>
      <w:rFonts w:ascii="Calibri" w:cs="Times New Roman" w:eastAsia="Times New Roman" w:hAnsi="Calibri"/>
      <w:b w:val="1"/>
      <w:bCs w:val="1"/>
      <w:sz w:val="28"/>
      <w:szCs w:val="28"/>
      <w:lang w:eastAsia="it-IT"/>
    </w:rPr>
  </w:style>
  <w:style w:type="character" w:styleId="CorpotestoCarattere" w:customStyle="1">
    <w:name w:val="Corpo testo Carattere"/>
    <w:basedOn w:val="Carpredefinitoparagrafo"/>
    <w:link w:val="Corpotesto"/>
    <w:uiPriority w:val="99"/>
    <w:semiHidden w:val="1"/>
    <w:qFormat w:val="1"/>
    <w:rsid w:val="00811D57"/>
  </w:style>
  <w:style w:type="character" w:styleId="Rimandonotadichiusura">
    <w:name w:val="endnote reference"/>
    <w:rPr>
      <w:vertAlign w:val="superscript"/>
    </w:rPr>
  </w:style>
  <w:style w:type="character" w:styleId="Caratterinotadichiusura" w:customStyle="1">
    <w:name w:val="Caratteri nota di chiusura"/>
    <w:qFormat w:val="1"/>
  </w:style>
  <w:style w:type="paragraph" w:styleId="Corpotesto">
    <w:name w:val="Body Text"/>
    <w:basedOn w:val="Normale"/>
    <w:link w:val="CorpotestoCarattere"/>
    <w:uiPriority w:val="99"/>
    <w:semiHidden w:val="1"/>
    <w:unhideWhenUsed w:val="1"/>
    <w:rsid w:val="00811D57"/>
    <w:pPr>
      <w:spacing w:after="120"/>
    </w:pPr>
  </w:style>
  <w:style w:type="paragraph" w:styleId="Elenco">
    <w:name w:val="List"/>
    <w:basedOn w:val="Corpotesto"/>
    <w:rPr>
      <w:rFonts w:cs="Lucida Sans"/>
    </w:rPr>
  </w:style>
  <w:style w:type="paragraph" w:styleId="Didascalia">
    <w:name w:val="caption"/>
    <w:basedOn w:val="Normale"/>
    <w:qFormat w:val="1"/>
    <w:pPr>
      <w:suppressLineNumbers w:val="1"/>
      <w:spacing w:after="120" w:before="120"/>
    </w:pPr>
    <w:rPr>
      <w:rFonts w:cs="Lucida Sans"/>
      <w:i w:val="1"/>
      <w:iCs w:val="1"/>
    </w:rPr>
  </w:style>
  <w:style w:type="paragraph" w:styleId="Indice" w:customStyle="1">
    <w:name w:val="Indice"/>
    <w:basedOn w:val="Normale"/>
    <w:qFormat w:val="1"/>
    <w:pPr>
      <w:suppressLineNumbers w:val="1"/>
    </w:pPr>
    <w:rPr>
      <w:rFonts w:cs="Lucida Sans"/>
    </w:rPr>
  </w:style>
  <w:style w:type="paragraph" w:styleId="NormaleWeb">
    <w:name w:val="Normal (Web)"/>
    <w:basedOn w:val="Normale"/>
    <w:uiPriority w:val="99"/>
    <w:unhideWhenUsed w:val="1"/>
    <w:qFormat w:val="1"/>
    <w:rsid w:val="00CD788C"/>
    <w:pPr>
      <w:spacing w:afterAutospacing="1" w:beforeAutospacing="1"/>
    </w:pPr>
    <w:rPr>
      <w:rFonts w:ascii="Times New Roman" w:cs="Times New Roman" w:eastAsia="Times New Roman" w:hAnsi="Times New Roman"/>
      <w:lang w:eastAsia="it-IT"/>
    </w:rPr>
  </w:style>
  <w:style w:type="paragraph" w:styleId="Intestazioneepidipagina" w:customStyle="1">
    <w:name w:val="Intestazione e piè di pagina"/>
    <w:basedOn w:val="Normale"/>
    <w:qFormat w:val="1"/>
  </w:style>
  <w:style w:type="paragraph" w:styleId="Intestazione">
    <w:name w:val="header"/>
    <w:basedOn w:val="Normale"/>
    <w:link w:val="IntestazioneCarattere"/>
    <w:uiPriority w:val="99"/>
    <w:unhideWhenUsed w:val="1"/>
    <w:rsid w:val="00A20920"/>
    <w:pPr>
      <w:tabs>
        <w:tab w:val="center" w:pos="4819"/>
        <w:tab w:val="right" w:pos="9638"/>
      </w:tabs>
    </w:pPr>
  </w:style>
  <w:style w:type="paragraph" w:styleId="Pidipagina">
    <w:name w:val="footer"/>
    <w:basedOn w:val="Normale"/>
    <w:link w:val="PidipaginaCarattere"/>
    <w:uiPriority w:val="99"/>
    <w:unhideWhenUsed w:val="1"/>
    <w:rsid w:val="00A20920"/>
    <w:pPr>
      <w:tabs>
        <w:tab w:val="center" w:pos="4819"/>
        <w:tab w:val="right" w:pos="9638"/>
      </w:tabs>
    </w:pPr>
  </w:style>
  <w:style w:type="paragraph" w:styleId="Revisione">
    <w:name w:val="Revision"/>
    <w:uiPriority w:val="99"/>
    <w:semiHidden w:val="1"/>
    <w:qFormat w:val="1"/>
    <w:rsid w:val="00EE62F2"/>
  </w:style>
  <w:style w:type="paragraph" w:styleId="Testocommento">
    <w:name w:val="annotation text"/>
    <w:basedOn w:val="Normale"/>
    <w:link w:val="TestocommentoCarattere"/>
    <w:uiPriority w:val="99"/>
    <w:semiHidden w:val="1"/>
    <w:unhideWhenUsed w:val="1"/>
    <w:qFormat w:val="1"/>
    <w:rsid w:val="00EE62F2"/>
    <w:rPr>
      <w:sz w:val="20"/>
      <w:szCs w:val="20"/>
    </w:rPr>
  </w:style>
  <w:style w:type="paragraph" w:styleId="Soggettocommento">
    <w:name w:val="annotation subject"/>
    <w:basedOn w:val="Testocommento"/>
    <w:next w:val="Testocommento"/>
    <w:link w:val="SoggettocommentoCarattere"/>
    <w:uiPriority w:val="99"/>
    <w:semiHidden w:val="1"/>
    <w:unhideWhenUsed w:val="1"/>
    <w:qFormat w:val="1"/>
    <w:rsid w:val="00EE62F2"/>
    <w:rPr>
      <w:b w:val="1"/>
      <w:bCs w:val="1"/>
    </w:rPr>
  </w:style>
  <w:style w:type="paragraph" w:styleId="Testofumetto">
    <w:name w:val="Balloon Text"/>
    <w:basedOn w:val="Normale"/>
    <w:link w:val="TestofumettoCarattere"/>
    <w:uiPriority w:val="99"/>
    <w:semiHidden w:val="1"/>
    <w:unhideWhenUsed w:val="1"/>
    <w:qFormat w:val="1"/>
    <w:rsid w:val="00531D0C"/>
    <w:rPr>
      <w:rFonts w:ascii="Segoe UI" w:cs="Segoe UI" w:hAnsi="Segoe UI"/>
      <w:sz w:val="18"/>
      <w:szCs w:val="18"/>
    </w:rPr>
  </w:style>
  <w:style w:type="paragraph" w:styleId="Paragrafoelenco">
    <w:name w:val="List Paragraph"/>
    <w:basedOn w:val="Normale"/>
    <w:uiPriority w:val="1"/>
    <w:qFormat w:val="1"/>
    <w:rsid w:val="001D53C5"/>
    <w:pPr>
      <w:widowControl w:val="0"/>
      <w:ind w:left="720"/>
      <w:contextualSpacing w:val="1"/>
    </w:pPr>
    <w:rPr>
      <w:rFonts w:ascii="Times New Roman" w:cs="Times New Roman" w:eastAsia="Times New Roman" w:hAnsi="Times New Roman"/>
      <w:sz w:val="20"/>
      <w:szCs w:val="20"/>
      <w:lang w:eastAsia="it-IT"/>
    </w:rPr>
  </w:style>
  <w:style w:type="paragraph" w:styleId="Testonotaapidipagina">
    <w:name w:val="footnote text"/>
    <w:basedOn w:val="Normale"/>
    <w:link w:val="TestonotaapidipaginaCarattere"/>
    <w:uiPriority w:val="99"/>
    <w:unhideWhenUsed w:val="1"/>
    <w:rsid w:val="001D53C5"/>
    <w:pPr>
      <w:widowControl w:val="0"/>
    </w:pPr>
    <w:rPr>
      <w:rFonts w:ascii="Times New Roman" w:cs="Times New Roman" w:eastAsia="Times New Roman" w:hAnsi="Times New Roman"/>
      <w:sz w:val="20"/>
      <w:szCs w:val="20"/>
      <w:lang w:eastAsia="it-IT"/>
    </w:rPr>
  </w:style>
  <w:style w:type="paragraph" w:styleId="Corpodeltesto2">
    <w:name w:val="Body Text 2"/>
    <w:basedOn w:val="Normale"/>
    <w:link w:val="Corpodeltesto2Carattere"/>
    <w:uiPriority w:val="99"/>
    <w:unhideWhenUsed w:val="1"/>
    <w:qFormat w:val="1"/>
    <w:rsid w:val="001D53C5"/>
    <w:pPr>
      <w:spacing w:after="120" w:line="480" w:lineRule="auto"/>
    </w:pPr>
    <w:rPr>
      <w:rFonts w:cs="Times New Roman" w:eastAsia="Calibri"/>
      <w:sz w:val="20"/>
      <w:szCs w:val="16"/>
      <w:lang w:eastAsia="it-IT"/>
    </w:rPr>
  </w:style>
  <w:style w:type="paragraph" w:styleId="usoboll1" w:customStyle="1">
    <w:name w:val="usoboll1"/>
    <w:basedOn w:val="Normale"/>
    <w:qFormat w:val="1"/>
    <w:rsid w:val="00A368D6"/>
    <w:pPr>
      <w:widowControl w:val="0"/>
      <w:spacing w:line="482" w:lineRule="exact"/>
      <w:jc w:val="both"/>
    </w:pPr>
    <w:rPr>
      <w:rFonts w:ascii="Times New Roman" w:cs="Times New Roman" w:eastAsia="Times New Roman" w:hAnsi="Times New Roman"/>
      <w:szCs w:val="20"/>
      <w:lang w:eastAsia="it-IT"/>
    </w:rPr>
  </w:style>
  <w:style w:type="paragraph" w:styleId="TableParagraph" w:customStyle="1">
    <w:name w:val="Table Paragraph"/>
    <w:basedOn w:val="Normale"/>
    <w:uiPriority w:val="1"/>
    <w:qFormat w:val="1"/>
    <w:rsid w:val="00811D57"/>
    <w:pPr>
      <w:widowControl w:val="0"/>
    </w:pPr>
    <w:rPr>
      <w:rFonts w:ascii="Calibri" w:cs="Calibri" w:eastAsia="Times New Roman" w:hAnsi="Calibri"/>
      <w:sz w:val="22"/>
      <w:szCs w:val="22"/>
      <w:lang w:val="en-US"/>
    </w:rPr>
  </w:style>
  <w:style w:type="table" w:styleId="Grigliatabella">
    <w:name w:val="Table Grid"/>
    <w:basedOn w:val="Tabellanormale"/>
    <w:uiPriority w:val="99"/>
    <w:rsid w:val="003F7F7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Normal" w:customStyle="1">
    <w:name w:val="Table Normal"/>
    <w:uiPriority w:val="2"/>
    <w:semiHidden w:val="1"/>
    <w:unhideWhenUsed w:val="1"/>
    <w:qFormat w:val="1"/>
    <w:rsid w:val="00811D57"/>
    <w:rPr>
      <w:sz w:val="22"/>
      <w:szCs w:val="22"/>
      <w:lang w:val="en-US"/>
    </w:rPr>
    <w:tblPr>
      <w:tblCellMar>
        <w:top w:w="0.0" w:type="dxa"/>
        <w:left w:w="0.0" w:type="dxa"/>
        <w:bottom w:w="0.0" w:type="dxa"/>
        <w:right w:w="0.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1">
    <w:basedOn w:val="TableNormal"/>
    <w:rPr>
      <w:sz w:val="22"/>
      <w:szCs w:val="22"/>
    </w:rPr>
    <w:tblPr>
      <w:tblStyleRowBandSize w:val="1"/>
      <w:tblStyleColBandSize w:val="1"/>
      <w:tblCellMar>
        <w:top w:w="0.0" w:type="dxa"/>
        <w:left w:w="115.0" w:type="dxa"/>
        <w:bottom w:w="0.0" w:type="dxa"/>
        <w:right w:w="115.0" w:type="dxa"/>
      </w:tblCellMar>
    </w:tblPr>
  </w:style>
  <w:style w:type="table" w:styleId="Table2">
    <w:basedOn w:val="TableNormal"/>
    <w:rPr>
      <w:sz w:val="22"/>
      <w:szCs w:val="22"/>
    </w:rPr>
    <w:tblPr>
      <w:tblStyleRowBandSize w:val="1"/>
      <w:tblStyleColBandSize w:val="1"/>
      <w:tblCellMar>
        <w:top w:w="0.0" w:type="dxa"/>
        <w:left w:w="115.0" w:type="dxa"/>
        <w:bottom w:w="0.0" w:type="dxa"/>
        <w:right w:w="115.0" w:type="dxa"/>
      </w:tblCellMar>
    </w:tblPr>
  </w:style>
  <w:style w:type="table" w:styleId="Table1">
    <w:basedOn w:val="TableNormal"/>
    <w:rPr>
      <w:sz w:val="22"/>
      <w:szCs w:val="22"/>
    </w:rPr>
    <w:tblPr>
      <w:tblStyleRowBandSize w:val="1"/>
      <w:tblStyleColBandSize w:val="1"/>
      <w:tblCellMar>
        <w:top w:w="0.0" w:type="dxa"/>
        <w:left w:w="115.0" w:type="dxa"/>
        <w:bottom w:w="0.0" w:type="dxa"/>
        <w:right w:w="115.0" w:type="dxa"/>
      </w:tblCellMar>
    </w:tblPr>
  </w:style>
  <w:style w:type="table" w:styleId="Table2">
    <w:basedOn w:val="TableNormal"/>
    <w:rPr>
      <w:sz w:val="22"/>
      <w:szCs w:val="22"/>
    </w:rPr>
    <w:tblPr>
      <w:tblStyleRowBandSize w:val="1"/>
      <w:tblStyleColBandSize w:val="1"/>
      <w:tblCellMar>
        <w:top w:w="0.0" w:type="dxa"/>
        <w:left w:w="115.0" w:type="dxa"/>
        <w:bottom w:w="0.0" w:type="dxa"/>
        <w:right w:w="115.0" w:type="dxa"/>
      </w:tblCellMar>
    </w:tblPr>
  </w:style>
  <w:style w:type="table" w:styleId="Table1">
    <w:basedOn w:val="TableNormal"/>
    <w:rPr>
      <w:sz w:val="22"/>
      <w:szCs w:val="22"/>
    </w:rPr>
    <w:tblPr>
      <w:tblStyleRowBandSize w:val="1"/>
      <w:tblStyleColBandSize w:val="1"/>
      <w:tblCellMar>
        <w:top w:w="0.0" w:type="dxa"/>
        <w:left w:w="115.0" w:type="dxa"/>
        <w:bottom w:w="0.0" w:type="dxa"/>
        <w:right w:w="115.0" w:type="dxa"/>
      </w:tblCellMar>
    </w:tblPr>
  </w:style>
  <w:style w:type="table" w:styleId="Table2">
    <w:basedOn w:val="TableNormal"/>
    <w:rPr>
      <w:sz w:val="22"/>
      <w:szCs w:val="22"/>
    </w:rPr>
    <w:tblPr>
      <w:tblStyleRowBandSize w:val="1"/>
      <w:tblStyleColBandSize w:val="1"/>
      <w:tblCellMar>
        <w:top w:w="0.0" w:type="dxa"/>
        <w:left w:w="115.0" w:type="dxa"/>
        <w:bottom w:w="0.0" w:type="dxa"/>
        <w:right w:w="115.0" w:type="dxa"/>
      </w:tblCellMar>
    </w:tblPr>
  </w:style>
  <w:style w:type="table" w:styleId="Table1">
    <w:basedOn w:val="TableNormal"/>
    <w:rPr>
      <w:sz w:val="22"/>
      <w:szCs w:val="22"/>
    </w:rPr>
    <w:tblPr>
      <w:tblStyleRowBandSize w:val="1"/>
      <w:tblStyleColBandSize w:val="1"/>
      <w:tblCellMar>
        <w:top w:w="0.0" w:type="dxa"/>
        <w:left w:w="115.0" w:type="dxa"/>
        <w:bottom w:w="0.0" w:type="dxa"/>
        <w:right w:w="115.0" w:type="dxa"/>
      </w:tblCellMar>
    </w:tblPr>
  </w:style>
  <w:style w:type="table" w:styleId="Table2">
    <w:basedOn w:val="TableNormal"/>
    <w:rPr>
      <w:sz w:val="22"/>
      <w:szCs w:val="22"/>
    </w:rPr>
    <w:tblPr>
      <w:tblStyleRowBandSize w:val="1"/>
      <w:tblStyleColBandSize w:val="1"/>
      <w:tblCellMar>
        <w:top w:w="0.0" w:type="dxa"/>
        <w:left w:w="115.0" w:type="dxa"/>
        <w:bottom w:w="0.0" w:type="dxa"/>
        <w:right w:w="115.0" w:type="dxa"/>
      </w:tblCellMar>
    </w:tblPr>
  </w:style>
  <w:style w:type="table" w:styleId="Table1">
    <w:basedOn w:val="TableNormal"/>
    <w:rPr>
      <w:sz w:val="22"/>
      <w:szCs w:val="22"/>
    </w:rPr>
    <w:tblPr>
      <w:tblStyleRowBandSize w:val="1"/>
      <w:tblStyleColBandSize w:val="1"/>
      <w:tblCellMar>
        <w:top w:w="0.0" w:type="dxa"/>
        <w:left w:w="115.0" w:type="dxa"/>
        <w:bottom w:w="0.0" w:type="dxa"/>
        <w:right w:w="115.0" w:type="dxa"/>
      </w:tblCellMar>
    </w:tblPr>
  </w:style>
  <w:style w:type="table" w:styleId="Table2">
    <w:basedOn w:val="TableNormal"/>
    <w:rPr>
      <w:sz w:val="22"/>
      <w:szCs w:val="22"/>
    </w:rPr>
    <w:tblPr>
      <w:tblStyleRowBandSize w:val="1"/>
      <w:tblStyleColBandSize w:val="1"/>
      <w:tblCellMar>
        <w:top w:w="0.0" w:type="dxa"/>
        <w:left w:w="115.0" w:type="dxa"/>
        <w:bottom w:w="0.0" w:type="dxa"/>
        <w:right w:w="115.0" w:type="dxa"/>
      </w:tblCellMar>
    </w:tblPr>
  </w:style>
  <w:style w:type="table" w:styleId="Table1">
    <w:basedOn w:val="TableNormal"/>
    <w:rPr>
      <w:sz w:val="22"/>
      <w:szCs w:val="22"/>
    </w:rPr>
    <w:tblPr>
      <w:tblStyleRowBandSize w:val="1"/>
      <w:tblStyleColBandSize w:val="1"/>
      <w:tblCellMar>
        <w:top w:w="0.0" w:type="dxa"/>
        <w:left w:w="115.0" w:type="dxa"/>
        <w:bottom w:w="0.0" w:type="dxa"/>
        <w:right w:w="115.0" w:type="dxa"/>
      </w:tblCellMar>
    </w:tblPr>
  </w:style>
  <w:style w:type="table" w:styleId="Table1">
    <w:basedOn w:val="TableNormal"/>
    <w:rPr>
      <w:sz w:val="22"/>
      <w:szCs w:val="22"/>
    </w:rPr>
    <w:tblPr>
      <w:tblStyleRowBandSize w:val="1"/>
      <w:tblStyleColBandSize w:val="1"/>
      <w:tblCellMar>
        <w:top w:w="0.0" w:type="dxa"/>
        <w:left w:w="115.0" w:type="dxa"/>
        <w:bottom w:w="0.0" w:type="dxa"/>
        <w:right w:w="115.0" w:type="dxa"/>
      </w:tblCellMar>
    </w:tblPr>
  </w:style>
  <w:style w:type="table" w:styleId="Table1">
    <w:basedOn w:val="TableNormal"/>
    <w:rPr>
      <w:sz w:val="22"/>
      <w:szCs w:val="22"/>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rPr>
      <w:sz w:val="22"/>
      <w:szCs w:val="22"/>
    </w:rPr>
    <w:tblPr>
      <w:tblStyleRowBandSize w:val="1"/>
      <w:tblStyleColBandSize w:val="1"/>
      <w:tblCellMar>
        <w:top w:w="0.0" w:type="dxa"/>
        <w:left w:w="115.0" w:type="dxa"/>
        <w:bottom w:w="0.0" w:type="dxa"/>
        <w:right w:w="115.0" w:type="dxa"/>
      </w:tblCellMar>
    </w:tblPr>
  </w:style>
  <w:style w:type="table" w:styleId="Table2">
    <w:basedOn w:val="TableNormal"/>
    <w:rPr>
      <w:sz w:val="22"/>
      <w:szCs w:val="22"/>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2013-2022">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9IH1XGlpj+SKs9ynj0TwGsv3Q4g==">CgMxLjAyCGguZ2pkZ3hzMgloLjMwajB6bGwyDmgudHFwYmYzNzNwN3dlOAByITE5UHRVc0NWYzhPeGFPLVNIaHFRR2oyQjVGZHR5Z01LTg==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2024-01-12T15:49:00Z</dcterms:created>
  <dc:creator>ChiaraGiuseppaElena Leonardi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0x010100B36D9AF8D92E6D4896FA47C64897B85C</vt:lpwstr>
  </property>
</Properties>
</file>